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Охрана труда</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«Охрана труда»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«Охрана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«Охрана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особенности проектирования рациональной планировки и оснащения рабочих мест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методы анализа эффективности использования техники и технологии производства, совершенствования организации труда и управления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знать показатели анализа и оценки состояния уровня организации, механизации и автоматизации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знать основы эргономики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знать режимы рабочего времени, особенности режима рабочего времени и времени отдыха, условий труда отдельных категорий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знать требования охраны труда, промышленной, пожарной, экологической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оценивать планировку и состояние рабочих мест и технологического оборудования с учетом результатов специальной оценки условий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ПК-1.40 владеть навыками проведения анализа форм организации, разделения и кооперации труда, состояния и оснащенности рабочих мест, результатов их оценки по условиям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ПК-1.41 владеть навыками анализа и оценки текущего состояния производительности и эффективности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ПК-1.42 владеть навыками изучения психофизиологических особенностей и ограничений для различных видов работ (технологических процессов, функций, операций)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ПК-1.43 владеть навыками подготовки предложений по внесению изменений в технологические карты, регламенты выполнения работ (процессов, функций, операций) на основе анализа изменений в технике (оборудовании) и технологических процессах</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ПК-1.44 владеть навыками подготовки предложений по совершенствованию системы организации рабочих мест на основе анализа отечественной и зарубежной теории и передовой практики организации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ПК-1.45 владеть навыками определения рациональных приемов и методов выполнения работ (процессов, функций, операций) с наименьшими затратами используемых ресурсов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ПК-1.46 владеть навыками разработки нормативных документов (регламентов) по системе организации труда, рациональной расстановке рабочих мест, режимам труда и отдыха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ПК-1.49 владеть навыками определения эффективности применения локальных нормативных актов по вопросам организации труда в организации, выявление факторов отклонений от плановых параметров по результатам анализа их применения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ПК-1.50 владеть навыками разработки мероприятий по совершенствованию системы управления производительностью труда и эффективности управления трудовыми ресурсами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«Охрана труда»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Гражданское право</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Менеджмент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адаптацией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 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877.1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Корпоративная безопасность</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охраны труда в компании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Нормативно-правовое обеспечение безопасности труда в  компании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pPr>
              <w:jc w:val="both"/>
              <w:spacing w:after="0" w:line="240" w:lineRule="auto"/>
              <w:rPr>
                <w:sz w:val="24"/>
                <w:szCs w:val="24"/>
              </w:rPr>
            </w:pPr>
            <w:r>
              <w:rPr>
                <w:rFonts w:ascii="Times New Roman" w:hAnsi="Times New Roman" w:cs="Times New Roman"/>
                <w:color w:val="#000000"/>
                <w:sz w:val="24"/>
                <w:szCs w:val="24"/>
              </w:rPr>
              <w:t>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pPr>
              <w:jc w:val="both"/>
              <w:spacing w:after="0" w:line="240" w:lineRule="auto"/>
              <w:rPr>
                <w:sz w:val="24"/>
                <w:szCs w:val="24"/>
              </w:rPr>
            </w:pPr>
            <w:r>
              <w:rPr>
                <w:rFonts w:ascii="Times New Roman" w:hAnsi="Times New Roman" w:cs="Times New Roman"/>
                <w:color w:val="#000000"/>
                <w:sz w:val="24"/>
                <w:szCs w:val="24"/>
              </w:rPr>
              <w:t> Государственный надзор и контроль за соблюдением законодательства «Об охране труда».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Режим труда и отдыха  в  компании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pPr>
              <w:jc w:val="both"/>
              <w:spacing w:after="0" w:line="240" w:lineRule="auto"/>
              <w:rPr>
                <w:sz w:val="24"/>
                <w:szCs w:val="24"/>
              </w:rPr>
            </w:pPr>
            <w:r>
              <w:rPr>
                <w:rFonts w:ascii="Times New Roman" w:hAnsi="Times New Roman" w:cs="Times New Roman"/>
                <w:color w:val="#000000"/>
                <w:sz w:val="24"/>
                <w:szCs w:val="24"/>
              </w:rPr>
              <w:t>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безопасностью труда в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w:t>
            </w:r>
          </w:p>
          <w:p>
            <w:pPr>
              <w:jc w:val="both"/>
              <w:spacing w:after="0" w:line="240" w:lineRule="auto"/>
              <w:rPr>
                <w:sz w:val="24"/>
                <w:szCs w:val="24"/>
              </w:rPr>
            </w:pPr>
            <w:r>
              <w:rPr>
                <w:rFonts w:ascii="Times New Roman" w:hAnsi="Times New Roman" w:cs="Times New Roman"/>
                <w:color w:val="#000000"/>
                <w:sz w:val="24"/>
                <w:szCs w:val="24"/>
              </w:rPr>
              <w:t>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нарушение нормативно-правовой базы безопасности и охраны труда в  компании</w:t>
            </w:r>
          </w:p>
        </w:tc>
      </w:tr>
      <w:tr>
        <w:trPr>
          <w:trHeight w:hRule="exact" w:val="668.8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компании.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Корпоративная безопасность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охраны труда в компании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Нормативно-правовое обеспечение безопасности труда в  компании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pPr>
              <w:jc w:val="both"/>
              <w:spacing w:after="0" w:line="240" w:lineRule="auto"/>
              <w:rPr>
                <w:sz w:val="24"/>
                <w:szCs w:val="24"/>
              </w:rPr>
            </w:pPr>
            <w:r>
              <w:rPr>
                <w:rFonts w:ascii="Times New Roman" w:hAnsi="Times New Roman" w:cs="Times New Roman"/>
                <w:color w:val="#000000"/>
                <w:sz w:val="24"/>
                <w:szCs w:val="24"/>
              </w:rPr>
              <w:t>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pPr>
              <w:jc w:val="both"/>
              <w:spacing w:after="0" w:line="240" w:lineRule="auto"/>
              <w:rPr>
                <w:sz w:val="24"/>
                <w:szCs w:val="24"/>
              </w:rPr>
            </w:pPr>
            <w:r>
              <w:rPr>
                <w:rFonts w:ascii="Times New Roman" w:hAnsi="Times New Roman" w:cs="Times New Roman"/>
                <w:color w:val="#000000"/>
                <w:sz w:val="24"/>
                <w:szCs w:val="24"/>
              </w:rPr>
              <w:t> Государственный надзор и контроль за соблюдением законодательства «Об охране труда».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Режим труда и отдыха  в  компании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pPr>
              <w:jc w:val="both"/>
              <w:spacing w:after="0" w:line="240" w:lineRule="auto"/>
              <w:rPr>
                <w:sz w:val="24"/>
                <w:szCs w:val="24"/>
              </w:rPr>
            </w:pPr>
            <w:r>
              <w:rPr>
                <w:rFonts w:ascii="Times New Roman" w:hAnsi="Times New Roman" w:cs="Times New Roman"/>
                <w:color w:val="#000000"/>
                <w:sz w:val="24"/>
                <w:szCs w:val="24"/>
              </w:rPr>
              <w:t>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trPr>
          <w:trHeight w:hRule="exact" w:val="14.7017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безопасностью труда в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w:t>
            </w:r>
          </w:p>
          <w:p>
            <w:pPr>
              <w:jc w:val="both"/>
              <w:spacing w:after="0" w:line="240" w:lineRule="auto"/>
              <w:rPr>
                <w:sz w:val="24"/>
                <w:szCs w:val="24"/>
              </w:rPr>
            </w:pPr>
            <w:r>
              <w:rPr>
                <w:rFonts w:ascii="Times New Roman" w:hAnsi="Times New Roman" w:cs="Times New Roman"/>
                <w:color w:val="#000000"/>
                <w:sz w:val="24"/>
                <w:szCs w:val="24"/>
              </w:rPr>
              <w:t>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нарушение нормативно-правовой базы безопасности и охраны труда в  компании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p>
            <w:pPr>
              <w:jc w:val="both"/>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«Охрана труда»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Солопова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http://www.iprbookshop.ru/71306.html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Коробко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http://www.iprbookshop.ru/81525.html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производстве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учебном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производстве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учебном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http://www.iprbookshop.ru/78158.html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66.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18.9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2024-2025_ФГОС3++2024_Бак-ОФО-УП(ОТОП)(24)_plx_Охрана труда</dc:title>
  <dc:creator>FastReport.NET</dc:creator>
</cp:coreProperties>
</file>